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>oświadczenie o otrzymaniu/nieotrzymaniu pomocy de minimis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minimis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minimis i jest udzielane na podstawie Rozporządzenia MIiR w sprawie udzielania pomocy de minimis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>Zgodnie z zapisami wskazanych powyżej rozporządzeń pomoc de minimis nie może zostać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minimis,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minimis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MIiR w sprawie udzielania pomocy de minimis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(aval),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oświadczenia o otrzymaniu/nieotrzymaniu pomocy de minimis w ciągu 3 kolejnych lat poprzedzających dzień złożenia wniosku.</w:t>
      </w:r>
    </w:p>
    <w:p w:rsidR="002051A8" w:rsidRDefault="002051A8"/>
    <w:sectPr w:rsidR="002051A8" w:rsidSect="00C0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44" w:rsidRDefault="00E76844">
      <w:pPr>
        <w:spacing w:after="0" w:line="240" w:lineRule="auto"/>
      </w:pPr>
      <w:r>
        <w:separator/>
      </w:r>
    </w:p>
  </w:endnote>
  <w:endnote w:type="continuationSeparator" w:id="1">
    <w:p w:rsidR="00E76844" w:rsidRDefault="00E7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E" w:rsidRDefault="00160C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E" w:rsidRDefault="00160CBE" w:rsidP="00160CBE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160CBE" w:rsidRDefault="00160CBE" w:rsidP="00160CBE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0CBE" w:rsidRDefault="00160CBE" w:rsidP="00160CBE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160CBE" w:rsidRDefault="00160CBE" w:rsidP="00160CBE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E" w:rsidRDefault="00160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44" w:rsidRDefault="00E76844">
      <w:pPr>
        <w:spacing w:after="0" w:line="240" w:lineRule="auto"/>
      </w:pPr>
      <w:r>
        <w:separator/>
      </w:r>
    </w:p>
  </w:footnote>
  <w:footnote w:type="continuationSeparator" w:id="1">
    <w:p w:rsidR="00E76844" w:rsidRDefault="00E7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E" w:rsidRDefault="00160C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E" w:rsidRDefault="00160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160CBE"/>
    <w:rsid w:val="002051A8"/>
    <w:rsid w:val="00210C3C"/>
    <w:rsid w:val="00310405"/>
    <w:rsid w:val="003F7B67"/>
    <w:rsid w:val="004F237C"/>
    <w:rsid w:val="00B4704A"/>
    <w:rsid w:val="00C013F0"/>
    <w:rsid w:val="00C8589C"/>
    <w:rsid w:val="00D33F3D"/>
    <w:rsid w:val="00E76844"/>
    <w:rsid w:val="00F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160CB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2017-04-07T17:58:00Z</dcterms:created>
  <dcterms:modified xsi:type="dcterms:W3CDTF">2017-04-20T08:19:00Z</dcterms:modified>
  <dc:language>pl-PL</dc:language>
</cp:coreProperties>
</file>